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637" w:rsidRDefault="00C62637" w:rsidP="00C62637">
      <w:pPr>
        <w:ind w:left="360"/>
        <w:jc w:val="both"/>
        <w:rPr>
          <w:rFonts w:ascii="Times New Roman" w:hAnsi="Times New Roman" w:cs="Times New Roman"/>
        </w:rPr>
      </w:pPr>
      <w:r>
        <w:rPr>
          <w:b/>
          <w:bCs/>
          <w:color w:val="000000"/>
          <w:sz w:val="18"/>
          <w:szCs w:val="18"/>
        </w:rPr>
        <w:t xml:space="preserve">FEDERAL FUNDS.  </w:t>
      </w:r>
      <w:r>
        <w:rPr>
          <w:color w:val="000000"/>
          <w:sz w:val="18"/>
          <w:szCs w:val="18"/>
        </w:rPr>
        <w:t xml:space="preserve">The Seller shall make all necessary inquiries to correctly identify the source of funding for the contract.  If the source of funds for a contract is federal funds, the following federal provisions may apply pursuant to 2 C.F.R § 200.326 and 2 C.F.R. Part 200, Appendix II (as applicable), unless a more stringent state or local law or regulation is applicable:  Equal Employment Opportunity (41 C.F.R. Part 60); Davis-Bacon Act (40 U.S.C. 3141-3148; Copeland “Anti-Kickback” Act (40 U.S.C. 3145); Contract Work Hours and Safety Standards Act (40 U.S.C. 3701-3708); Clean Air Act (42 U.S.C.7401-7671q.) and the Federal Water Pollution Control Act (33 U.S.C.1251-1387); Debarment and Suspension (Executive Orders 12549 and 12689); Byrd-Anti-Lobbying Amendment (31 U.S.C 1352; Procurement of Recovered Materials (2 C.F.R §200.322) and Record Retention Requirements (2 C.F.R. §200.324). </w:t>
      </w:r>
    </w:p>
    <w:p w:rsidR="003F5185" w:rsidRDefault="00C62637">
      <w:bookmarkStart w:id="0" w:name="_GoBack"/>
      <w:bookmarkEnd w:id="0"/>
    </w:p>
    <w:sectPr w:rsidR="003F5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37"/>
    <w:rsid w:val="00217390"/>
    <w:rsid w:val="00A32E23"/>
    <w:rsid w:val="00C6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020F1-B277-4BAC-927E-5CA282BC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63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Catawba County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Gainey</dc:creator>
  <cp:keywords/>
  <dc:description/>
  <cp:lastModifiedBy>Pam Gainey</cp:lastModifiedBy>
  <cp:revision>1</cp:revision>
  <dcterms:created xsi:type="dcterms:W3CDTF">2021-11-17T15:04:00Z</dcterms:created>
  <dcterms:modified xsi:type="dcterms:W3CDTF">2021-11-17T15:05:00Z</dcterms:modified>
</cp:coreProperties>
</file>